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118" w:rsidRPr="00552118" w:rsidRDefault="00552118" w:rsidP="00552118">
      <w:pPr>
        <w:jc w:val="center"/>
        <w:rPr>
          <w:sz w:val="32"/>
          <w:szCs w:val="32"/>
        </w:rPr>
      </w:pPr>
      <w:r w:rsidRPr="00552118">
        <w:rPr>
          <w:sz w:val="32"/>
          <w:szCs w:val="32"/>
        </w:rPr>
        <w:t xml:space="preserve">Self-Contained 12-1-1 High School General Music Class </w:t>
      </w:r>
    </w:p>
    <w:p w:rsidR="00552118" w:rsidRPr="00552118" w:rsidRDefault="00552118" w:rsidP="00552118">
      <w:pPr>
        <w:jc w:val="center"/>
        <w:rPr>
          <w:sz w:val="32"/>
          <w:szCs w:val="32"/>
        </w:rPr>
      </w:pPr>
      <w:r w:rsidRPr="00552118">
        <w:rPr>
          <w:sz w:val="32"/>
          <w:szCs w:val="32"/>
        </w:rPr>
        <w:t xml:space="preserve">Unit on Instrument Sounds and Animals </w:t>
      </w:r>
    </w:p>
    <w:p w:rsidR="00552118" w:rsidRPr="00552118" w:rsidRDefault="00552118" w:rsidP="00552118">
      <w:pPr>
        <w:jc w:val="center"/>
        <w:rPr>
          <w:u w:val="single"/>
        </w:rPr>
      </w:pPr>
    </w:p>
    <w:p w:rsidR="00552118" w:rsidRDefault="00552118" w:rsidP="00552118">
      <w:pPr>
        <w:rPr>
          <w:u w:val="single"/>
        </w:rPr>
      </w:pPr>
      <w:r w:rsidRPr="00552118">
        <w:rPr>
          <w:u w:val="single"/>
        </w:rPr>
        <w:t>Unit Objectives</w:t>
      </w:r>
    </w:p>
    <w:p w:rsidR="00B43963" w:rsidRDefault="00B43963" w:rsidP="00B43963"/>
    <w:p w:rsidR="00B43963" w:rsidRDefault="00B43963" w:rsidP="00B43963"/>
    <w:tbl>
      <w:tblPr>
        <w:tblStyle w:val="TableGrid"/>
        <w:tblW w:w="10170" w:type="dxa"/>
        <w:tblInd w:w="-275" w:type="dxa"/>
        <w:tblLook w:val="04A0" w:firstRow="1" w:lastRow="0" w:firstColumn="1" w:lastColumn="0" w:noHBand="0" w:noVBand="1"/>
      </w:tblPr>
      <w:tblGrid>
        <w:gridCol w:w="3843"/>
        <w:gridCol w:w="3087"/>
        <w:gridCol w:w="3240"/>
      </w:tblGrid>
      <w:tr w:rsidR="00B43963" w:rsidTr="00B43963">
        <w:tc>
          <w:tcPr>
            <w:tcW w:w="3843" w:type="dxa"/>
          </w:tcPr>
          <w:p w:rsidR="00B43963" w:rsidRPr="00B43963" w:rsidRDefault="00B43963" w:rsidP="00B43963">
            <w:pPr>
              <w:rPr>
                <w:b/>
              </w:rPr>
            </w:pPr>
            <w:r w:rsidRPr="00B43963">
              <w:rPr>
                <w:b/>
              </w:rPr>
              <w:t xml:space="preserve">Unit Objectives </w:t>
            </w:r>
          </w:p>
        </w:tc>
        <w:tc>
          <w:tcPr>
            <w:tcW w:w="3087" w:type="dxa"/>
          </w:tcPr>
          <w:p w:rsidR="00B43963" w:rsidRPr="00B43963" w:rsidRDefault="00B43963" w:rsidP="00B43963">
            <w:pPr>
              <w:rPr>
                <w:b/>
              </w:rPr>
            </w:pPr>
            <w:r w:rsidRPr="00B43963">
              <w:rPr>
                <w:b/>
              </w:rPr>
              <w:t>Formative Assessments</w:t>
            </w:r>
          </w:p>
        </w:tc>
        <w:tc>
          <w:tcPr>
            <w:tcW w:w="3240" w:type="dxa"/>
          </w:tcPr>
          <w:p w:rsidR="00B43963" w:rsidRPr="00B43963" w:rsidRDefault="00B43963" w:rsidP="00B43963">
            <w:pPr>
              <w:rPr>
                <w:b/>
              </w:rPr>
            </w:pPr>
            <w:r w:rsidRPr="00B43963">
              <w:rPr>
                <w:b/>
              </w:rPr>
              <w:t>Summative Assessment</w:t>
            </w:r>
          </w:p>
        </w:tc>
      </w:tr>
      <w:tr w:rsidR="00B43963" w:rsidTr="00B43963">
        <w:trPr>
          <w:trHeight w:val="1196"/>
        </w:trPr>
        <w:tc>
          <w:tcPr>
            <w:tcW w:w="3843" w:type="dxa"/>
          </w:tcPr>
          <w:p w:rsidR="00B43963" w:rsidRDefault="00B43963" w:rsidP="00B43963">
            <w:r>
              <w:t xml:space="preserve">Be able to recognize instruments in the orchestra by their sound </w:t>
            </w:r>
          </w:p>
          <w:p w:rsidR="00B43963" w:rsidRDefault="00B43963" w:rsidP="00B43963"/>
        </w:tc>
        <w:tc>
          <w:tcPr>
            <w:tcW w:w="3087" w:type="dxa"/>
          </w:tcPr>
          <w:p w:rsidR="00B43963" w:rsidRDefault="00B43963" w:rsidP="00B43963">
            <w:r>
              <w:t>Oral questioning, check for understanding.</w:t>
            </w:r>
          </w:p>
        </w:tc>
        <w:tc>
          <w:tcPr>
            <w:tcW w:w="3240" w:type="dxa"/>
          </w:tcPr>
          <w:p w:rsidR="00B43963" w:rsidRDefault="00B43963" w:rsidP="00B43963"/>
        </w:tc>
      </w:tr>
      <w:tr w:rsidR="00B43963" w:rsidTr="00B43963">
        <w:trPr>
          <w:trHeight w:val="1160"/>
        </w:trPr>
        <w:tc>
          <w:tcPr>
            <w:tcW w:w="3843" w:type="dxa"/>
          </w:tcPr>
          <w:p w:rsidR="00B43963" w:rsidRDefault="00B43963" w:rsidP="00B43963">
            <w:r>
              <w:t>Be able to move creatively to certain movements of Camille Saint-Saens’ “Carnival of the Animals.”</w:t>
            </w:r>
          </w:p>
          <w:p w:rsidR="00B43963" w:rsidRDefault="00B43963" w:rsidP="00B43963"/>
        </w:tc>
        <w:tc>
          <w:tcPr>
            <w:tcW w:w="3087" w:type="dxa"/>
          </w:tcPr>
          <w:p w:rsidR="00B43963" w:rsidRDefault="00B43963" w:rsidP="00B43963">
            <w:r>
              <w:t>Observation of teacher</w:t>
            </w:r>
          </w:p>
        </w:tc>
        <w:tc>
          <w:tcPr>
            <w:tcW w:w="3240" w:type="dxa"/>
          </w:tcPr>
          <w:p w:rsidR="00B43963" w:rsidRDefault="00B43963" w:rsidP="00B43963"/>
          <w:p w:rsidR="00B43963" w:rsidRDefault="00B43963" w:rsidP="00B43963"/>
          <w:p w:rsidR="00B43963" w:rsidRDefault="00B43963" w:rsidP="00B43963"/>
          <w:p w:rsidR="00B43963" w:rsidRDefault="00B43963" w:rsidP="00B43963"/>
        </w:tc>
      </w:tr>
      <w:tr w:rsidR="00B43963" w:rsidTr="00B43963">
        <w:trPr>
          <w:trHeight w:val="1160"/>
        </w:trPr>
        <w:tc>
          <w:tcPr>
            <w:tcW w:w="3843" w:type="dxa"/>
          </w:tcPr>
          <w:p w:rsidR="00B43963" w:rsidRDefault="00B43963" w:rsidP="00B43963">
            <w:r>
              <w:t>Be able to listen for specific musical elements such as dynamics, tempo and instrumentation</w:t>
            </w:r>
          </w:p>
        </w:tc>
        <w:tc>
          <w:tcPr>
            <w:tcW w:w="3087" w:type="dxa"/>
          </w:tcPr>
          <w:p w:rsidR="00B43963" w:rsidRDefault="00B43963" w:rsidP="00B43963"/>
        </w:tc>
        <w:tc>
          <w:tcPr>
            <w:tcW w:w="3240" w:type="dxa"/>
          </w:tcPr>
          <w:p w:rsidR="00B43963" w:rsidRDefault="00B43963" w:rsidP="00B43963">
            <w:r>
              <w:t>Listening Glyphs</w:t>
            </w:r>
          </w:p>
        </w:tc>
      </w:tr>
      <w:tr w:rsidR="00B43963" w:rsidTr="00B43963">
        <w:trPr>
          <w:trHeight w:val="1160"/>
        </w:trPr>
        <w:tc>
          <w:tcPr>
            <w:tcW w:w="3843" w:type="dxa"/>
          </w:tcPr>
          <w:p w:rsidR="00B43963" w:rsidRDefault="00B43963" w:rsidP="00B43963">
            <w:r>
              <w:t xml:space="preserve">Be able to form independent opinions on whether they liked or disliked the music. </w:t>
            </w:r>
          </w:p>
        </w:tc>
        <w:tc>
          <w:tcPr>
            <w:tcW w:w="3087" w:type="dxa"/>
          </w:tcPr>
          <w:p w:rsidR="00B43963" w:rsidRDefault="00B43963" w:rsidP="00B43963"/>
        </w:tc>
        <w:tc>
          <w:tcPr>
            <w:tcW w:w="3240" w:type="dxa"/>
          </w:tcPr>
          <w:p w:rsidR="00B43963" w:rsidRDefault="00B43963" w:rsidP="00B43963">
            <w:r>
              <w:t>Listening Glyphs</w:t>
            </w:r>
          </w:p>
        </w:tc>
      </w:tr>
    </w:tbl>
    <w:p w:rsidR="00552118" w:rsidRDefault="00552118" w:rsidP="00B43963"/>
    <w:p w:rsidR="00B43963" w:rsidRDefault="00B43963" w:rsidP="00B43963">
      <w:r w:rsidRPr="009A3DC2">
        <w:rPr>
          <w:b/>
          <w:u w:val="single"/>
        </w:rPr>
        <w:t>Unit Duration:</w:t>
      </w:r>
      <w:r>
        <w:t xml:space="preserve"> 6-8 class periods</w:t>
      </w:r>
    </w:p>
    <w:p w:rsidR="00B43963" w:rsidRDefault="00B43963" w:rsidP="00B43963"/>
    <w:p w:rsidR="009A3DC2" w:rsidRPr="009A3DC2" w:rsidRDefault="00B43963" w:rsidP="00B43963">
      <w:pPr>
        <w:rPr>
          <w:b/>
          <w:u w:val="single"/>
        </w:rPr>
      </w:pPr>
      <w:r w:rsidRPr="009A3DC2">
        <w:rPr>
          <w:b/>
          <w:u w:val="single"/>
        </w:rPr>
        <w:t xml:space="preserve">Procedure: </w:t>
      </w:r>
    </w:p>
    <w:p w:rsidR="009A3DC2" w:rsidRDefault="00B43963" w:rsidP="009A3DC2">
      <w:pPr>
        <w:pStyle w:val="ListParagraph"/>
        <w:numPr>
          <w:ilvl w:val="0"/>
          <w:numId w:val="2"/>
        </w:numPr>
      </w:pPr>
      <w:r>
        <w:t xml:space="preserve">Each class, </w:t>
      </w:r>
      <w:r w:rsidR="009A3DC2">
        <w:t xml:space="preserve">listen to at least two movements of the piece by Camille Saint-Saens, “Carnival of the Animals.” </w:t>
      </w:r>
    </w:p>
    <w:p w:rsidR="009A3DC2" w:rsidRDefault="009A3DC2" w:rsidP="009A3DC2">
      <w:pPr>
        <w:pStyle w:val="ListParagraph"/>
        <w:numPr>
          <w:ilvl w:val="0"/>
          <w:numId w:val="2"/>
        </w:numPr>
      </w:pPr>
      <w:r>
        <w:t xml:space="preserve">Listen once for initial exposure, then discuss the piece and how it relates to the animal it describes. </w:t>
      </w:r>
    </w:p>
    <w:p w:rsidR="00B43963" w:rsidRDefault="009A3DC2" w:rsidP="009A3DC2">
      <w:pPr>
        <w:pStyle w:val="ListParagraph"/>
        <w:numPr>
          <w:ilvl w:val="0"/>
          <w:numId w:val="2"/>
        </w:numPr>
      </w:pPr>
      <w:r>
        <w:t xml:space="preserve">Then, students will listen repeatedly while completing the particular listening glyph for that particular animal. This involves coloring the different parts of the glyph according to what they hear. (see attached example) </w:t>
      </w:r>
    </w:p>
    <w:p w:rsidR="009A3DC2" w:rsidRDefault="009A3DC2" w:rsidP="009A3DC2">
      <w:pPr>
        <w:pStyle w:val="ListParagraph"/>
        <w:numPr>
          <w:ilvl w:val="0"/>
          <w:numId w:val="2"/>
        </w:numPr>
      </w:pPr>
      <w:r>
        <w:t xml:space="preserve">Bind all completed glyphs into a booklet that students can keep. </w:t>
      </w:r>
    </w:p>
    <w:p w:rsidR="009A3DC2" w:rsidRDefault="009A3DC2" w:rsidP="009A3DC2">
      <w:pPr>
        <w:pStyle w:val="ListParagraph"/>
        <w:numPr>
          <w:ilvl w:val="0"/>
          <w:numId w:val="2"/>
        </w:numPr>
      </w:pPr>
      <w:r>
        <w:t xml:space="preserve">For certain movements, such as “The March of the Royal Lion” and “The Swan”, use it as an opportunity to explore moving to the music. March to the steady beat or pretend to be a graceful swan. Have students supply ideas on how to move. </w:t>
      </w:r>
    </w:p>
    <w:p w:rsidR="009A3DC2" w:rsidRDefault="009A3DC2" w:rsidP="009A3DC2"/>
    <w:p w:rsidR="009A3DC2" w:rsidRPr="009A3DC2" w:rsidRDefault="009A3DC2" w:rsidP="009A3DC2">
      <w:pPr>
        <w:rPr>
          <w:b/>
          <w:u w:val="single"/>
        </w:rPr>
      </w:pPr>
      <w:r w:rsidRPr="009A3DC2">
        <w:rPr>
          <w:b/>
          <w:u w:val="single"/>
        </w:rPr>
        <w:t xml:space="preserve">Materials: </w:t>
      </w:r>
      <w:bookmarkStart w:id="0" w:name="_GoBack"/>
      <w:bookmarkEnd w:id="0"/>
      <w:r>
        <w:t xml:space="preserve">Listening glyph packets, crayons/colored pencils, recording of “Carnival of the Animals”, speakers. </w:t>
      </w:r>
    </w:p>
    <w:p w:rsidR="009A3DC2" w:rsidRDefault="009A3DC2" w:rsidP="00B43963">
      <w:r>
        <w:rPr>
          <w:noProof/>
        </w:rPr>
        <w:lastRenderedPageBreak/>
        <w:drawing>
          <wp:inline distT="0" distB="0" distL="0" distR="0">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onListeningGlyph.jpg"/>
                    <pic:cNvPicPr/>
                  </pic:nvPicPr>
                  <pic:blipFill>
                    <a:blip r:embed="rId5">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9A3DC2" w:rsidSect="00B05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A7F58"/>
    <w:multiLevelType w:val="hybridMultilevel"/>
    <w:tmpl w:val="286C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37FC8"/>
    <w:multiLevelType w:val="hybridMultilevel"/>
    <w:tmpl w:val="C1F4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18"/>
    <w:rsid w:val="00552118"/>
    <w:rsid w:val="009A3DC2"/>
    <w:rsid w:val="00A03BA1"/>
    <w:rsid w:val="00B05A20"/>
    <w:rsid w:val="00B4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506A4F"/>
  <w15:chartTrackingRefBased/>
  <w15:docId w15:val="{FED73633-9F89-AB44-82E2-0E0ED406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118"/>
    <w:pPr>
      <w:ind w:left="720"/>
      <w:contextualSpacing/>
    </w:pPr>
  </w:style>
  <w:style w:type="table" w:styleId="TableGrid">
    <w:name w:val="Table Grid"/>
    <w:basedOn w:val="TableNormal"/>
    <w:uiPriority w:val="39"/>
    <w:rsid w:val="00B43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2019-04-05T20:55:00Z</dcterms:created>
  <dcterms:modified xsi:type="dcterms:W3CDTF">2019-04-05T21:29:00Z</dcterms:modified>
</cp:coreProperties>
</file>